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A18A" w14:textId="48605312" w:rsidR="00923A8A" w:rsidRPr="00923A8A" w:rsidRDefault="00923A8A" w:rsidP="00923A8A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Data Protection Impact Assessment (DPIA) – </w:t>
      </w:r>
      <w:r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Salford Priors </w:t>
      </w:r>
      <w:r w:rsidRPr="00923A8A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>Parish Council Finance</w:t>
      </w:r>
    </w:p>
    <w:p w14:paraId="04340DAB" w14:textId="512E8EA9" w:rsidR="00923A8A" w:rsidRPr="00923A8A" w:rsidRDefault="00923A8A" w:rsidP="00BD70A0">
      <w:pPr>
        <w:spacing w:before="100" w:before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Date of Assessment: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5A3FEC">
        <w:rPr>
          <w:rFonts w:asciiTheme="majorHAnsi" w:eastAsia="Times New Roman" w:hAnsiTheme="majorHAnsi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28/10/2025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Assessor: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Donna Bowles - Clerk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Version: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1.0</w:t>
      </w:r>
    </w:p>
    <w:p w14:paraId="5BFD0720" w14:textId="77777777" w:rsidR="00923A8A" w:rsidRPr="00923A8A" w:rsidRDefault="00393F52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0069F8F4">
          <v:rect id="_x0000_i1033" alt="" style="width:418.85pt;height:.05pt;mso-width-percent:0;mso-height-percent:0;mso-width-percent:0;mso-height-percent:0" o:hrpct="895" o:hralign="center" o:hrstd="t" o:hr="t" fillcolor="#a0a0a0" stroked="f"/>
        </w:pict>
      </w:r>
    </w:p>
    <w:p w14:paraId="150744B3" w14:textId="77777777" w:rsidR="00923A8A" w:rsidRPr="00923A8A" w:rsidRDefault="00923A8A" w:rsidP="00BD70A0">
      <w:pPr>
        <w:spacing w:before="100" w:before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1. Purpose of DPIA</w:t>
      </w:r>
    </w:p>
    <w:p w14:paraId="52E333FC" w14:textId="287BF31E" w:rsidR="00923A8A" w:rsidRPr="00923A8A" w:rsidRDefault="00923A8A" w:rsidP="00BD70A0">
      <w:pPr>
        <w:spacing w:before="100" w:before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This DPIA evaluates the processing of personal data related to financial operations of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Salford Priors Parish Council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ensuring compliance with the UK GDPR and Data Protection Act 2018. Its goal is to identify and mitigate privacy risks associated with collecting, storing, and sharing financial data.</w:t>
      </w:r>
    </w:p>
    <w:p w14:paraId="714E23C9" w14:textId="77777777" w:rsidR="00923A8A" w:rsidRPr="00923A8A" w:rsidRDefault="00393F52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19AEDBE9">
          <v:rect id="_x0000_i1032" alt="" style="width:418.85pt;height:.05pt;mso-width-percent:0;mso-height-percent:0;mso-width-percent:0;mso-height-percent:0" o:hrpct="895" o:hralign="center" o:hrstd="t" o:hr="t" fillcolor="#a0a0a0" stroked="f"/>
        </w:pict>
      </w:r>
    </w:p>
    <w:p w14:paraId="5DBFBCAB" w14:textId="77777777" w:rsidR="00923A8A" w:rsidRPr="00923A8A" w:rsidRDefault="00923A8A" w:rsidP="00923A8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2. Description of Processing</w:t>
      </w:r>
    </w:p>
    <w:p w14:paraId="1FB5E67B" w14:textId="1F4376D5" w:rsidR="00923A8A" w:rsidRPr="00923A8A" w:rsidRDefault="00923A8A" w:rsidP="00923A8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a) Nature of processing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Salford Priors Parish Council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collects, stores, and processes personal and financial data for:</w:t>
      </w:r>
    </w:p>
    <w:p w14:paraId="2057C7EA" w14:textId="77777777" w:rsidR="00923A8A" w:rsidRPr="00923A8A" w:rsidRDefault="00923A8A" w:rsidP="00923A8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Payment of staff and councillor allowances</w:t>
      </w:r>
    </w:p>
    <w:p w14:paraId="629D1D91" w14:textId="77777777" w:rsidR="00923A8A" w:rsidRPr="00923A8A" w:rsidRDefault="00923A8A" w:rsidP="00923A8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Invoice processing and payments to suppliers</w:t>
      </w:r>
    </w:p>
    <w:p w14:paraId="40844168" w14:textId="77777777" w:rsidR="00923A8A" w:rsidRPr="00923A8A" w:rsidRDefault="00923A8A" w:rsidP="00923A8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Grant applications and disbursements to local organisations</w:t>
      </w:r>
    </w:p>
    <w:p w14:paraId="2CCE04AE" w14:textId="77777777" w:rsidR="00923A8A" w:rsidRPr="00923A8A" w:rsidRDefault="00923A8A" w:rsidP="00923A8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Council tax precept collection monitoring (limited personal data)</w:t>
      </w:r>
    </w:p>
    <w:p w14:paraId="76964F24" w14:textId="77777777" w:rsidR="00923A8A" w:rsidRPr="00923A8A" w:rsidRDefault="00923A8A" w:rsidP="00923A8A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Bank reconciliation and financial reporting</w:t>
      </w:r>
    </w:p>
    <w:p w14:paraId="7DFB0E95" w14:textId="20B779D2" w:rsidR="00923A8A" w:rsidRDefault="00923A8A" w:rsidP="00923A8A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b) Types of personal data processed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23A8A" w14:paraId="79A76D47" w14:textId="77777777" w:rsidTr="00923A8A">
        <w:tc>
          <w:tcPr>
            <w:tcW w:w="4505" w:type="dxa"/>
          </w:tcPr>
          <w:p w14:paraId="0C1B4CEC" w14:textId="213F5608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4505" w:type="dxa"/>
          </w:tcPr>
          <w:p w14:paraId="0E62A6D8" w14:textId="39C934B2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Data</w:t>
            </w:r>
          </w:p>
        </w:tc>
      </w:tr>
      <w:tr w:rsidR="00923A8A" w14:paraId="30ECEF6C" w14:textId="77777777" w:rsidTr="00CE6BC4">
        <w:tc>
          <w:tcPr>
            <w:tcW w:w="4505" w:type="dxa"/>
          </w:tcPr>
          <w:p w14:paraId="27184191" w14:textId="30F73B46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Staff &amp; councillors</w:t>
            </w:r>
          </w:p>
        </w:tc>
        <w:tc>
          <w:tcPr>
            <w:tcW w:w="4505" w:type="dxa"/>
            <w:vAlign w:val="center"/>
          </w:tcPr>
          <w:p w14:paraId="68982C6B" w14:textId="404DCA42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Name, bank account number, payroll info, NI number, contact info</w:t>
            </w:r>
          </w:p>
        </w:tc>
      </w:tr>
      <w:tr w:rsidR="00923A8A" w14:paraId="5047A25F" w14:textId="77777777" w:rsidTr="00923A8A">
        <w:tc>
          <w:tcPr>
            <w:tcW w:w="4505" w:type="dxa"/>
          </w:tcPr>
          <w:p w14:paraId="0CA9C0F4" w14:textId="62F656B8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Suppliers</w:t>
            </w:r>
          </w:p>
        </w:tc>
        <w:tc>
          <w:tcPr>
            <w:tcW w:w="4505" w:type="dxa"/>
          </w:tcPr>
          <w:p w14:paraId="675C0563" w14:textId="402533BD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Name, business contact, bank details, invoices</w:t>
            </w:r>
          </w:p>
        </w:tc>
      </w:tr>
      <w:tr w:rsidR="00923A8A" w14:paraId="5B8A0A76" w14:textId="77777777" w:rsidTr="002C5379">
        <w:tc>
          <w:tcPr>
            <w:tcW w:w="4505" w:type="dxa"/>
          </w:tcPr>
          <w:p w14:paraId="672CF691" w14:textId="3BB1D338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Residents/beneficiaries</w:t>
            </w:r>
          </w:p>
        </w:tc>
        <w:tc>
          <w:tcPr>
            <w:tcW w:w="4505" w:type="dxa"/>
            <w:vAlign w:val="center"/>
          </w:tcPr>
          <w:p w14:paraId="42FC13A2" w14:textId="0AD076FD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Name, address, email, bank details (for grants or reimbursements)</w:t>
            </w:r>
          </w:p>
        </w:tc>
      </w:tr>
      <w:tr w:rsidR="00923A8A" w14:paraId="12CC4190" w14:textId="77777777" w:rsidTr="00923A8A">
        <w:tc>
          <w:tcPr>
            <w:tcW w:w="4505" w:type="dxa"/>
          </w:tcPr>
          <w:p w14:paraId="59C03E30" w14:textId="01955F16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Audit &amp; compliance</w:t>
            </w:r>
          </w:p>
        </w:tc>
        <w:tc>
          <w:tcPr>
            <w:tcW w:w="4505" w:type="dxa"/>
          </w:tcPr>
          <w:p w14:paraId="3F1E91CD" w14:textId="78E228AA" w:rsidR="00923A8A" w:rsidRDefault="00923A8A" w:rsidP="00923A8A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Financial records linking individuals to payments</w:t>
            </w:r>
          </w:p>
        </w:tc>
      </w:tr>
    </w:tbl>
    <w:p w14:paraId="67B634D6" w14:textId="77777777" w:rsidR="00923A8A" w:rsidRPr="00923A8A" w:rsidRDefault="00923A8A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</w:p>
    <w:p w14:paraId="0A72CB12" w14:textId="77777777" w:rsidR="00923A8A" w:rsidRPr="00923A8A" w:rsidRDefault="00923A8A" w:rsidP="00923A8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c) Special category data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No sensitive categories (health, ethnicity, political opinions) are routinely processed in finance, except occasional information included in grant applications (e.g., health-related grant eligibility).</w:t>
      </w:r>
    </w:p>
    <w:p w14:paraId="70E51594" w14:textId="77777777" w:rsidR="00923A8A" w:rsidRPr="00923A8A" w:rsidRDefault="00923A8A" w:rsidP="00923A8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d) Method of processing</w:t>
      </w:r>
    </w:p>
    <w:p w14:paraId="1F79B6C5" w14:textId="77777777" w:rsidR="00923A8A" w:rsidRPr="00923A8A" w:rsidRDefault="00923A8A" w:rsidP="00923A8A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Digital: Secure accounting software (e.g., Scribe Accounts, QuickBooks)</w:t>
      </w:r>
    </w:p>
    <w:p w14:paraId="1B655B8A" w14:textId="77777777" w:rsidR="00923A8A" w:rsidRPr="00923A8A" w:rsidRDefault="00923A8A" w:rsidP="00923A8A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Physical: Paper invoices and payment forms stored in locked cabinets</w:t>
      </w:r>
    </w:p>
    <w:p w14:paraId="1A758AE9" w14:textId="77777777" w:rsidR="00923A8A" w:rsidRPr="00923A8A" w:rsidRDefault="00923A8A" w:rsidP="00923A8A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Sharing: Limited to auditors, HMRC, and banks via secure channels</w:t>
      </w:r>
    </w:p>
    <w:p w14:paraId="2A5ED4F4" w14:textId="77777777" w:rsidR="00923A8A" w:rsidRPr="00923A8A" w:rsidRDefault="00393F52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321C8883">
          <v:rect id="_x0000_i1031" alt="" style="width:418.85pt;height:.05pt;mso-width-percent:0;mso-height-percent:0;mso-width-percent:0;mso-height-percent:0" o:hrpct="895" o:hralign="center" o:hrstd="t" o:hr="t" fillcolor="#a0a0a0" stroked="f"/>
        </w:pict>
      </w:r>
    </w:p>
    <w:p w14:paraId="131C52FC" w14:textId="77777777" w:rsidR="00923A8A" w:rsidRPr="00923A8A" w:rsidRDefault="00923A8A" w:rsidP="00923A8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3. Necessity and Proportionality</w:t>
      </w:r>
    </w:p>
    <w:p w14:paraId="40A845D1" w14:textId="77777777" w:rsidR="00923A8A" w:rsidRPr="00923A8A" w:rsidRDefault="00923A8A" w:rsidP="00923A8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Processing is necessary to:</w:t>
      </w:r>
    </w:p>
    <w:p w14:paraId="128B4C94" w14:textId="77777777" w:rsidR="00923A8A" w:rsidRPr="00923A8A" w:rsidRDefault="00923A8A" w:rsidP="00923A8A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Meet statutory obligations (Local Government Act 1972, Accounts and Audit Regulations)</w:t>
      </w:r>
    </w:p>
    <w:p w14:paraId="05058197" w14:textId="77777777" w:rsidR="00923A8A" w:rsidRPr="00923A8A" w:rsidRDefault="00923A8A" w:rsidP="00923A8A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Pay salaries and supplier invoices lawfully</w:t>
      </w:r>
    </w:p>
    <w:p w14:paraId="3F493DB2" w14:textId="77777777" w:rsidR="00923A8A" w:rsidRPr="00923A8A" w:rsidRDefault="00923A8A" w:rsidP="00923A8A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lastRenderedPageBreak/>
        <w:t>Ensure transparency and accountability in parish finances</w:t>
      </w:r>
    </w:p>
    <w:p w14:paraId="77D0A635" w14:textId="77777777" w:rsidR="00923A8A" w:rsidRPr="00923A8A" w:rsidRDefault="00923A8A" w:rsidP="00923A8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Data minimisation measures:</w:t>
      </w:r>
    </w:p>
    <w:p w14:paraId="1A854993" w14:textId="77777777" w:rsidR="00923A8A" w:rsidRPr="00923A8A" w:rsidRDefault="00923A8A" w:rsidP="00923A8A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Only essential fields captured for each transaction</w:t>
      </w:r>
    </w:p>
    <w:p w14:paraId="06644BB8" w14:textId="77777777" w:rsidR="00923A8A" w:rsidRPr="00923A8A" w:rsidRDefault="00923A8A" w:rsidP="00923A8A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Paper copies destroyed after 7 years in line with accounting requirements</w:t>
      </w:r>
    </w:p>
    <w:p w14:paraId="50B997FA" w14:textId="77777777" w:rsidR="00923A8A" w:rsidRPr="00923A8A" w:rsidRDefault="00923A8A" w:rsidP="00923A8A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Digital data access limited to authorised personnel</w:t>
      </w:r>
    </w:p>
    <w:p w14:paraId="7B082C41" w14:textId="77777777" w:rsidR="00923A8A" w:rsidRPr="00923A8A" w:rsidRDefault="00393F52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7233B773">
          <v:rect id="_x0000_i1030" alt="" style="width:418.85pt;height:.05pt;mso-width-percent:0;mso-height-percent:0;mso-width-percent:0;mso-height-percent:0" o:hrpct="895" o:hralign="center" o:hrstd="t" o:hr="t" fillcolor="#a0a0a0" stroked="f"/>
        </w:pict>
      </w:r>
    </w:p>
    <w:p w14:paraId="0396C309" w14:textId="77777777" w:rsidR="00923A8A" w:rsidRPr="00923A8A" w:rsidRDefault="00923A8A" w:rsidP="00923A8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4. Consultation</w:t>
      </w:r>
    </w:p>
    <w:p w14:paraId="49C4E8B1" w14:textId="77777777" w:rsidR="00923A8A" w:rsidRPr="00923A8A" w:rsidRDefault="00923A8A" w:rsidP="00923A8A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Staff and councillors informed of data handling procedures</w:t>
      </w:r>
    </w:p>
    <w:p w14:paraId="221F9F86" w14:textId="77777777" w:rsidR="00923A8A" w:rsidRPr="00923A8A" w:rsidRDefault="00923A8A" w:rsidP="00923A8A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Local residents consulted via council website and newsletter for grant applications</w:t>
      </w:r>
    </w:p>
    <w:p w14:paraId="3237ADA0" w14:textId="77777777" w:rsidR="00923A8A" w:rsidRPr="00923A8A" w:rsidRDefault="00923A8A" w:rsidP="00923A8A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Advice sought from Information Commissioner’s Office (ICO) guidance on public sector finance</w:t>
      </w:r>
    </w:p>
    <w:p w14:paraId="1D0C93B7" w14:textId="77777777" w:rsidR="00923A8A" w:rsidRPr="00923A8A" w:rsidRDefault="00393F52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371ED9CB">
          <v:rect id="_x0000_i1029" alt="" style="width:418.85pt;height:.05pt;mso-width-percent:0;mso-height-percent:0;mso-width-percent:0;mso-height-percent:0" o:hrpct="895" o:hralign="center" o:hrstd="t" o:hr="t" fillcolor="#a0a0a0" stroked="f"/>
        </w:pict>
      </w:r>
    </w:p>
    <w:p w14:paraId="41C0B2AE" w14:textId="0E00EDF6" w:rsidR="00923A8A" w:rsidRDefault="00923A8A" w:rsidP="00923A8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5. Assessment of Risks to Individuals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1417"/>
        <w:gridCol w:w="1134"/>
        <w:gridCol w:w="1333"/>
        <w:gridCol w:w="3487"/>
      </w:tblGrid>
      <w:tr w:rsidR="00923A8A" w14:paraId="28A2DB2C" w14:textId="77777777" w:rsidTr="00923A8A">
        <w:tc>
          <w:tcPr>
            <w:tcW w:w="2122" w:type="dxa"/>
          </w:tcPr>
          <w:p w14:paraId="67036AEE" w14:textId="4AB7EE44" w:rsidR="00923A8A" w:rsidRDefault="00923A8A" w:rsidP="00923A8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</w:t>
            </w:r>
          </w:p>
        </w:tc>
        <w:tc>
          <w:tcPr>
            <w:tcW w:w="1417" w:type="dxa"/>
          </w:tcPr>
          <w:p w14:paraId="092A20D4" w14:textId="6EF85C02" w:rsidR="00923A8A" w:rsidRDefault="00923A8A" w:rsidP="00923A8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Likelihood</w:t>
            </w:r>
          </w:p>
        </w:tc>
        <w:tc>
          <w:tcPr>
            <w:tcW w:w="1134" w:type="dxa"/>
          </w:tcPr>
          <w:p w14:paraId="303A1BDD" w14:textId="212A6D1E" w:rsidR="00923A8A" w:rsidRDefault="00923A8A" w:rsidP="00923A8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Impact</w:t>
            </w:r>
          </w:p>
        </w:tc>
        <w:tc>
          <w:tcPr>
            <w:tcW w:w="1333" w:type="dxa"/>
          </w:tcPr>
          <w:p w14:paraId="404BC5A0" w14:textId="0DA8D26C" w:rsidR="00923A8A" w:rsidRDefault="00923A8A" w:rsidP="00923A8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 Rating</w:t>
            </w:r>
          </w:p>
        </w:tc>
        <w:tc>
          <w:tcPr>
            <w:tcW w:w="3487" w:type="dxa"/>
          </w:tcPr>
          <w:p w14:paraId="35E96AE2" w14:textId="2EA420CA" w:rsidR="00923A8A" w:rsidRDefault="00923A8A" w:rsidP="00923A8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Mitigation</w:t>
            </w:r>
          </w:p>
        </w:tc>
      </w:tr>
      <w:tr w:rsidR="00923A8A" w14:paraId="34B862D7" w14:textId="77777777" w:rsidTr="00BD70A0">
        <w:tc>
          <w:tcPr>
            <w:tcW w:w="2122" w:type="dxa"/>
            <w:vAlign w:val="center"/>
          </w:tcPr>
          <w:p w14:paraId="0ABEEC72" w14:textId="5C2B599B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Theft/loss of paper financial records</w:t>
            </w:r>
          </w:p>
        </w:tc>
        <w:tc>
          <w:tcPr>
            <w:tcW w:w="1417" w:type="dxa"/>
            <w:vAlign w:val="center"/>
          </w:tcPr>
          <w:p w14:paraId="59819380" w14:textId="476D284A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134" w:type="dxa"/>
            <w:vAlign w:val="center"/>
          </w:tcPr>
          <w:p w14:paraId="5B047748" w14:textId="5555B915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333" w:type="dxa"/>
            <w:vAlign w:val="center"/>
          </w:tcPr>
          <w:p w14:paraId="5560E091" w14:textId="51439906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3487" w:type="dxa"/>
            <w:vAlign w:val="center"/>
          </w:tcPr>
          <w:p w14:paraId="00940B99" w14:textId="6947E2C5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Locked cabinets, restricted office access, shredding of obsolete documents</w:t>
            </w:r>
          </w:p>
        </w:tc>
      </w:tr>
      <w:tr w:rsidR="00923A8A" w14:paraId="4C0FF330" w14:textId="77777777" w:rsidTr="00BD70A0">
        <w:tc>
          <w:tcPr>
            <w:tcW w:w="2122" w:type="dxa"/>
            <w:vAlign w:val="center"/>
          </w:tcPr>
          <w:p w14:paraId="20B4AC19" w14:textId="305556CB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Cyber breach of accounting software</w:t>
            </w:r>
          </w:p>
        </w:tc>
        <w:tc>
          <w:tcPr>
            <w:tcW w:w="1417" w:type="dxa"/>
            <w:vAlign w:val="center"/>
          </w:tcPr>
          <w:p w14:paraId="4E3AF454" w14:textId="15B22693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vAlign w:val="center"/>
          </w:tcPr>
          <w:p w14:paraId="46BC0BAA" w14:textId="198B0719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333" w:type="dxa"/>
            <w:vAlign w:val="center"/>
          </w:tcPr>
          <w:p w14:paraId="371847BC" w14:textId="1C0F5E42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87" w:type="dxa"/>
            <w:vAlign w:val="center"/>
          </w:tcPr>
          <w:p w14:paraId="3984BC02" w14:textId="476309E4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Strong passwords, 2FA, software updates, regular backups</w:t>
            </w:r>
          </w:p>
        </w:tc>
      </w:tr>
      <w:tr w:rsidR="00923A8A" w14:paraId="300D6698" w14:textId="77777777" w:rsidTr="00BD70A0">
        <w:tc>
          <w:tcPr>
            <w:tcW w:w="2122" w:type="dxa"/>
            <w:vAlign w:val="center"/>
          </w:tcPr>
          <w:p w14:paraId="1AF1501B" w14:textId="7DF64C72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Accidental disclosure in emails</w:t>
            </w:r>
          </w:p>
        </w:tc>
        <w:tc>
          <w:tcPr>
            <w:tcW w:w="1417" w:type="dxa"/>
            <w:vAlign w:val="center"/>
          </w:tcPr>
          <w:p w14:paraId="369AE337" w14:textId="71E96C44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134" w:type="dxa"/>
            <w:vAlign w:val="center"/>
          </w:tcPr>
          <w:p w14:paraId="6F0B92CA" w14:textId="3E826E98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333" w:type="dxa"/>
            <w:vAlign w:val="center"/>
          </w:tcPr>
          <w:p w14:paraId="2A0B391C" w14:textId="7F5D023E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87" w:type="dxa"/>
            <w:vAlign w:val="center"/>
          </w:tcPr>
          <w:p w14:paraId="0B9AA60A" w14:textId="07A9FB0B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Staff training, use of encrypted emails for sensitive info</w:t>
            </w:r>
          </w:p>
        </w:tc>
      </w:tr>
      <w:tr w:rsidR="00923A8A" w14:paraId="0691D012" w14:textId="77777777" w:rsidTr="00BD70A0">
        <w:tc>
          <w:tcPr>
            <w:tcW w:w="2122" w:type="dxa"/>
            <w:vAlign w:val="center"/>
          </w:tcPr>
          <w:p w14:paraId="0D258FAB" w14:textId="22345690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Unauthori</w:t>
            </w:r>
            <w:r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ed internal access</w:t>
            </w:r>
          </w:p>
        </w:tc>
        <w:tc>
          <w:tcPr>
            <w:tcW w:w="1417" w:type="dxa"/>
            <w:vAlign w:val="center"/>
          </w:tcPr>
          <w:p w14:paraId="75053A4E" w14:textId="5D53B2AB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vAlign w:val="center"/>
          </w:tcPr>
          <w:p w14:paraId="649AC276" w14:textId="0468D2FC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333" w:type="dxa"/>
            <w:vAlign w:val="center"/>
          </w:tcPr>
          <w:p w14:paraId="202319F0" w14:textId="78410C4F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487" w:type="dxa"/>
            <w:vAlign w:val="center"/>
          </w:tcPr>
          <w:p w14:paraId="7DA6C355" w14:textId="15F44417" w:rsid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Role-based access control, audit logs</w:t>
            </w:r>
          </w:p>
        </w:tc>
      </w:tr>
      <w:tr w:rsidR="00923A8A" w14:paraId="16F432A0" w14:textId="77777777" w:rsidTr="00BD70A0">
        <w:tc>
          <w:tcPr>
            <w:tcW w:w="2122" w:type="dxa"/>
            <w:vAlign w:val="center"/>
          </w:tcPr>
          <w:p w14:paraId="5B71D133" w14:textId="0000EECC" w:rsidR="00923A8A" w:rsidRP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Grant applicant data misuse</w:t>
            </w:r>
          </w:p>
        </w:tc>
        <w:tc>
          <w:tcPr>
            <w:tcW w:w="1417" w:type="dxa"/>
            <w:vAlign w:val="center"/>
          </w:tcPr>
          <w:p w14:paraId="3873758F" w14:textId="4C7C8821" w:rsidR="00923A8A" w:rsidRP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1134" w:type="dxa"/>
            <w:vAlign w:val="center"/>
          </w:tcPr>
          <w:p w14:paraId="4071B53B" w14:textId="055A026E" w:rsidR="00923A8A" w:rsidRP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333" w:type="dxa"/>
            <w:vAlign w:val="center"/>
          </w:tcPr>
          <w:p w14:paraId="654280CF" w14:textId="691BFBB8" w:rsidR="00923A8A" w:rsidRP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3487" w:type="dxa"/>
            <w:vAlign w:val="center"/>
          </w:tcPr>
          <w:p w14:paraId="43546003" w14:textId="16C48ECC" w:rsidR="00923A8A" w:rsidRPr="00923A8A" w:rsidRDefault="00923A8A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GDPR-compliant grant forms, secure digital storage, data deletion policy after 1 year</w:t>
            </w:r>
          </w:p>
        </w:tc>
      </w:tr>
    </w:tbl>
    <w:p w14:paraId="2E740151" w14:textId="77777777" w:rsidR="00923A8A" w:rsidRPr="00923A8A" w:rsidRDefault="00393F52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371602B6">
          <v:rect id="_x0000_i1028" alt="" style="width:418.85pt;height:.05pt;mso-width-percent:0;mso-height-percent:0;mso-width-percent:0;mso-height-percent:0" o:hrpct="895" o:hralign="center" o:hrstd="t" o:hr="t" fillcolor="#a0a0a0" stroked="f"/>
        </w:pict>
      </w:r>
    </w:p>
    <w:p w14:paraId="33635279" w14:textId="77777777" w:rsidR="00923A8A" w:rsidRPr="00923A8A" w:rsidRDefault="00923A8A" w:rsidP="00923A8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6. Measures to Reduce Risks</w:t>
      </w:r>
    </w:p>
    <w:p w14:paraId="045FC1D4" w14:textId="77777777" w:rsidR="00923A8A" w:rsidRPr="00923A8A" w:rsidRDefault="00923A8A" w:rsidP="00923A8A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Staff and councillors trained on GDPR and cybersecurity annually</w:t>
      </w:r>
    </w:p>
    <w:p w14:paraId="689B9BA2" w14:textId="77777777" w:rsidR="00923A8A" w:rsidRPr="00923A8A" w:rsidRDefault="00923A8A" w:rsidP="00923A8A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All financial software is password-protected and regularly updated</w:t>
      </w:r>
    </w:p>
    <w:p w14:paraId="34AE89D7" w14:textId="77777777" w:rsidR="00923A8A" w:rsidRPr="00923A8A" w:rsidRDefault="00923A8A" w:rsidP="00923A8A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Paper records stored in locked, fireproof cabinets</w:t>
      </w:r>
    </w:p>
    <w:p w14:paraId="26EADDD7" w14:textId="77777777" w:rsidR="00923A8A" w:rsidRPr="00923A8A" w:rsidRDefault="00923A8A" w:rsidP="00923A8A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Access to financial data restricted to authorised personnel only</w:t>
      </w:r>
    </w:p>
    <w:p w14:paraId="1B4D47B1" w14:textId="77777777" w:rsidR="00923A8A" w:rsidRPr="00923A8A" w:rsidRDefault="00923A8A" w:rsidP="00923A8A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Regular audits and reconciliations to detect anomalies</w:t>
      </w:r>
    </w:p>
    <w:p w14:paraId="7EC408D2" w14:textId="77777777" w:rsidR="00923A8A" w:rsidRPr="00923A8A" w:rsidRDefault="00923A8A" w:rsidP="00923A8A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Secure, encrypted email and file transfer for sensitive documents</w:t>
      </w:r>
    </w:p>
    <w:p w14:paraId="419350FB" w14:textId="77777777" w:rsidR="00923A8A" w:rsidRPr="00923A8A" w:rsidRDefault="00393F52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2F640596">
          <v:rect id="_x0000_i1027" alt="" style="width:418.85pt;height:.05pt;mso-width-percent:0;mso-height-percent:0;mso-width-percent:0;mso-height-percent:0" o:hrpct="895" o:hralign="center" o:hrstd="t" o:hr="t" fillcolor="#a0a0a0" stroked="f"/>
        </w:pict>
      </w:r>
    </w:p>
    <w:p w14:paraId="4B968E37" w14:textId="77777777" w:rsidR="00923A8A" w:rsidRDefault="00923A8A" w:rsidP="00923A8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7. Data Retention and Disposal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D70A0" w14:paraId="797E5C07" w14:textId="77777777" w:rsidTr="00BD70A0">
        <w:tc>
          <w:tcPr>
            <w:tcW w:w="3003" w:type="dxa"/>
          </w:tcPr>
          <w:p w14:paraId="75544F64" w14:textId="4BE48EED" w:rsidR="00BD70A0" w:rsidRDefault="00BD70A0" w:rsidP="00923A8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Record Type</w:t>
            </w:r>
          </w:p>
        </w:tc>
        <w:tc>
          <w:tcPr>
            <w:tcW w:w="3003" w:type="dxa"/>
          </w:tcPr>
          <w:p w14:paraId="3E76B6B9" w14:textId="0D53437B" w:rsidR="00BD70A0" w:rsidRDefault="00BD70A0" w:rsidP="00923A8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Retention Period</w:t>
            </w:r>
          </w:p>
        </w:tc>
        <w:tc>
          <w:tcPr>
            <w:tcW w:w="3004" w:type="dxa"/>
          </w:tcPr>
          <w:p w14:paraId="6B4CB9BC" w14:textId="2B27660F" w:rsidR="00BD70A0" w:rsidRDefault="00BD70A0" w:rsidP="00923A8A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Disposal Method</w:t>
            </w:r>
          </w:p>
        </w:tc>
      </w:tr>
      <w:tr w:rsidR="00BD70A0" w14:paraId="24284806" w14:textId="77777777" w:rsidTr="00BD70A0">
        <w:tc>
          <w:tcPr>
            <w:tcW w:w="3003" w:type="dxa"/>
            <w:vAlign w:val="center"/>
          </w:tcPr>
          <w:p w14:paraId="7F9D669C" w14:textId="6BB1CA63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Payroll records</w:t>
            </w:r>
          </w:p>
        </w:tc>
        <w:tc>
          <w:tcPr>
            <w:tcW w:w="3003" w:type="dxa"/>
            <w:vAlign w:val="center"/>
          </w:tcPr>
          <w:p w14:paraId="5476686E" w14:textId="59A2369B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7 years</w:t>
            </w:r>
          </w:p>
        </w:tc>
        <w:tc>
          <w:tcPr>
            <w:tcW w:w="3004" w:type="dxa"/>
            <w:vAlign w:val="center"/>
          </w:tcPr>
          <w:p w14:paraId="5D91243E" w14:textId="014F308B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secure digital deletion</w:t>
            </w:r>
          </w:p>
        </w:tc>
      </w:tr>
      <w:tr w:rsidR="00BD70A0" w14:paraId="2F4791BF" w14:textId="77777777" w:rsidTr="00BD70A0">
        <w:tc>
          <w:tcPr>
            <w:tcW w:w="3003" w:type="dxa"/>
            <w:vAlign w:val="center"/>
          </w:tcPr>
          <w:p w14:paraId="385FDE6E" w14:textId="09D8FE60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Supplier invoices</w:t>
            </w:r>
          </w:p>
        </w:tc>
        <w:tc>
          <w:tcPr>
            <w:tcW w:w="3003" w:type="dxa"/>
            <w:vAlign w:val="center"/>
          </w:tcPr>
          <w:p w14:paraId="50E4EA0B" w14:textId="1D014DAA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7 years</w:t>
            </w:r>
          </w:p>
        </w:tc>
        <w:tc>
          <w:tcPr>
            <w:tcW w:w="3004" w:type="dxa"/>
            <w:vAlign w:val="center"/>
          </w:tcPr>
          <w:p w14:paraId="78F377CB" w14:textId="4E1CE0AA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secure digital deletion</w:t>
            </w:r>
          </w:p>
        </w:tc>
      </w:tr>
      <w:tr w:rsidR="00BD70A0" w14:paraId="5A114AA8" w14:textId="77777777" w:rsidTr="00BD70A0">
        <w:tc>
          <w:tcPr>
            <w:tcW w:w="3003" w:type="dxa"/>
            <w:vAlign w:val="center"/>
          </w:tcPr>
          <w:p w14:paraId="67AF0E8C" w14:textId="5C5BF18B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Grant applications</w:t>
            </w:r>
          </w:p>
        </w:tc>
        <w:tc>
          <w:tcPr>
            <w:tcW w:w="3003" w:type="dxa"/>
            <w:vAlign w:val="center"/>
          </w:tcPr>
          <w:p w14:paraId="41CDF99C" w14:textId="7E2DA2A2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1 year after completion</w:t>
            </w:r>
          </w:p>
        </w:tc>
        <w:tc>
          <w:tcPr>
            <w:tcW w:w="3004" w:type="dxa"/>
            <w:vAlign w:val="center"/>
          </w:tcPr>
          <w:p w14:paraId="15EDACF7" w14:textId="5C751AF3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Shredding or permanent deletion</w:t>
            </w:r>
          </w:p>
        </w:tc>
      </w:tr>
      <w:tr w:rsidR="00BD70A0" w14:paraId="27C0C277" w14:textId="77777777" w:rsidTr="00BD70A0">
        <w:tc>
          <w:tcPr>
            <w:tcW w:w="3003" w:type="dxa"/>
            <w:vAlign w:val="center"/>
          </w:tcPr>
          <w:p w14:paraId="646A0172" w14:textId="0B6889EA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Audit reports</w:t>
            </w:r>
          </w:p>
        </w:tc>
        <w:tc>
          <w:tcPr>
            <w:tcW w:w="3003" w:type="dxa"/>
            <w:vAlign w:val="center"/>
          </w:tcPr>
          <w:p w14:paraId="51C65A44" w14:textId="54E5E154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7 years</w:t>
            </w:r>
          </w:p>
        </w:tc>
        <w:tc>
          <w:tcPr>
            <w:tcW w:w="3004" w:type="dxa"/>
            <w:vAlign w:val="center"/>
          </w:tcPr>
          <w:p w14:paraId="4181B31A" w14:textId="44E3B3F9" w:rsidR="00BD70A0" w:rsidRDefault="00BD70A0" w:rsidP="00BD70A0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3A8A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secure digital deletion</w:t>
            </w:r>
          </w:p>
        </w:tc>
      </w:tr>
    </w:tbl>
    <w:p w14:paraId="72797579" w14:textId="77777777" w:rsidR="00923A8A" w:rsidRPr="00923A8A" w:rsidRDefault="00393F52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514EED20">
          <v:rect id="_x0000_i1026" alt="" style="width:418.85pt;height:.05pt;mso-width-percent:0;mso-height-percent:0;mso-width-percent:0;mso-height-percent:0" o:hrpct="895" o:hralign="center" o:hrstd="t" o:hr="t" fillcolor="#a0a0a0" stroked="f"/>
        </w:pict>
      </w:r>
    </w:p>
    <w:p w14:paraId="389C8ACF" w14:textId="77777777" w:rsidR="00923A8A" w:rsidRPr="00923A8A" w:rsidRDefault="00923A8A" w:rsidP="00923A8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8. Approval and Review</w:t>
      </w:r>
    </w:p>
    <w:p w14:paraId="6885F798" w14:textId="7E27F685" w:rsidR="00923A8A" w:rsidRPr="00923A8A" w:rsidRDefault="00923A8A" w:rsidP="00923A8A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DPIA Approved by: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BD70A0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Kim James, Chairman</w:t>
      </w:r>
    </w:p>
    <w:p w14:paraId="76787E99" w14:textId="749033AB" w:rsidR="00923A8A" w:rsidRPr="00923A8A" w:rsidRDefault="00923A8A" w:rsidP="00923A8A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Review Date: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0B080F">
        <w:rPr>
          <w:rFonts w:asciiTheme="majorHAnsi" w:eastAsia="Times New Roman" w:hAnsiTheme="majorHAnsi" w:cs="Times New Roman"/>
          <w:color w:val="EE0000"/>
          <w:kern w:val="0"/>
          <w:sz w:val="20"/>
          <w:szCs w:val="20"/>
          <w:lang w:eastAsia="en-GB"/>
          <w14:ligatures w14:val="none"/>
        </w:rPr>
        <w:t>April 2027</w:t>
      </w:r>
      <w:r w:rsidRPr="00923A8A">
        <w:rPr>
          <w:rFonts w:asciiTheme="majorHAnsi" w:eastAsia="Times New Roman" w:hAnsiTheme="majorHAnsi" w:cs="Times New Roman"/>
          <w:color w:val="EE0000"/>
          <w:kern w:val="0"/>
          <w:sz w:val="20"/>
          <w:szCs w:val="20"/>
          <w:lang w:eastAsia="en-GB"/>
          <w14:ligatures w14:val="none"/>
        </w:rPr>
        <w:t xml:space="preserve"> 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(annually or when processing changes)</w:t>
      </w:r>
    </w:p>
    <w:p w14:paraId="079DA181" w14:textId="77777777" w:rsidR="00923A8A" w:rsidRPr="00923A8A" w:rsidRDefault="00923A8A" w:rsidP="00923A8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Notes:</w:t>
      </w: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This DPIA will be reviewed if the parish council changes its financial processing systems, stores additional personal data, or if there are any breaches/incidents affecting personal data.</w:t>
      </w:r>
    </w:p>
    <w:p w14:paraId="45499752" w14:textId="77777777" w:rsidR="00923A8A" w:rsidRPr="00923A8A" w:rsidRDefault="00393F52" w:rsidP="00923A8A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673FC13B">
          <v:rect id="_x0000_i1025" alt="" style="width:418.85pt;height:.05pt;mso-width-percent:0;mso-height-percent:0;mso-width-percent:0;mso-height-percent:0" o:hrpct="895" o:hralign="center" o:hrstd="t" o:hr="t" fillcolor="#a0a0a0" stroked="f"/>
        </w:pict>
      </w:r>
    </w:p>
    <w:p w14:paraId="333F0D3D" w14:textId="77777777" w:rsidR="00923A8A" w:rsidRPr="00923A8A" w:rsidRDefault="00923A8A" w:rsidP="00923A8A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Signatures:</w:t>
      </w:r>
    </w:p>
    <w:p w14:paraId="14EBBEF2" w14:textId="004A3696" w:rsidR="00923A8A" w:rsidRPr="00923A8A" w:rsidRDefault="00BD70A0" w:rsidP="00923A8A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Clerk</w:t>
      </w:r>
      <w:r w:rsidR="00923A8A"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: ___________________</w:t>
      </w:r>
    </w:p>
    <w:p w14:paraId="3308FEF7" w14:textId="77777777" w:rsidR="00923A8A" w:rsidRPr="00923A8A" w:rsidRDefault="00923A8A" w:rsidP="00923A8A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923A8A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Parish Council Chair: ___________________</w:t>
      </w:r>
    </w:p>
    <w:p w14:paraId="5BF8496C" w14:textId="77777777" w:rsidR="00C5131E" w:rsidRDefault="00C5131E"/>
    <w:sectPr w:rsidR="00C5131E" w:rsidSect="00E143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6702"/>
    <w:multiLevelType w:val="multilevel"/>
    <w:tmpl w:val="F976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91E06"/>
    <w:multiLevelType w:val="multilevel"/>
    <w:tmpl w:val="E8E6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60E5F"/>
    <w:multiLevelType w:val="multilevel"/>
    <w:tmpl w:val="18CE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C5464"/>
    <w:multiLevelType w:val="multilevel"/>
    <w:tmpl w:val="9598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D3DDE"/>
    <w:multiLevelType w:val="multilevel"/>
    <w:tmpl w:val="5040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E617E"/>
    <w:multiLevelType w:val="multilevel"/>
    <w:tmpl w:val="CB24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D88"/>
    <w:multiLevelType w:val="multilevel"/>
    <w:tmpl w:val="8D00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76F2D"/>
    <w:multiLevelType w:val="multilevel"/>
    <w:tmpl w:val="B184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064336">
    <w:abstractNumId w:val="0"/>
  </w:num>
  <w:num w:numId="2" w16cid:durableId="423722912">
    <w:abstractNumId w:val="4"/>
  </w:num>
  <w:num w:numId="3" w16cid:durableId="1738282396">
    <w:abstractNumId w:val="7"/>
  </w:num>
  <w:num w:numId="4" w16cid:durableId="501505435">
    <w:abstractNumId w:val="3"/>
  </w:num>
  <w:num w:numId="5" w16cid:durableId="1643729915">
    <w:abstractNumId w:val="5"/>
  </w:num>
  <w:num w:numId="6" w16cid:durableId="1013187144">
    <w:abstractNumId w:val="6"/>
  </w:num>
  <w:num w:numId="7" w16cid:durableId="714963086">
    <w:abstractNumId w:val="2"/>
  </w:num>
  <w:num w:numId="8" w16cid:durableId="99479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8A"/>
    <w:rsid w:val="000A452C"/>
    <w:rsid w:val="000B080F"/>
    <w:rsid w:val="000E35E2"/>
    <w:rsid w:val="00245BDD"/>
    <w:rsid w:val="002650D0"/>
    <w:rsid w:val="00393F52"/>
    <w:rsid w:val="0047128D"/>
    <w:rsid w:val="00587990"/>
    <w:rsid w:val="005A3FEC"/>
    <w:rsid w:val="00681568"/>
    <w:rsid w:val="00923A8A"/>
    <w:rsid w:val="00953AAC"/>
    <w:rsid w:val="00AC043F"/>
    <w:rsid w:val="00AC6CBC"/>
    <w:rsid w:val="00B31402"/>
    <w:rsid w:val="00BD70A0"/>
    <w:rsid w:val="00C5131E"/>
    <w:rsid w:val="00C9602C"/>
    <w:rsid w:val="00CB3026"/>
    <w:rsid w:val="00E1439D"/>
    <w:rsid w:val="00E8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7A74"/>
  <w15:chartTrackingRefBased/>
  <w15:docId w15:val="{18B1A546-5A07-ED44-A899-73BD5480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A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3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A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A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3A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23A8A"/>
    <w:rPr>
      <w:b/>
      <w:bCs/>
    </w:rPr>
  </w:style>
  <w:style w:type="table" w:styleId="TableGrid">
    <w:name w:val="Table Grid"/>
    <w:basedOn w:val="TableNormal"/>
    <w:uiPriority w:val="39"/>
    <w:rsid w:val="0092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Bowles</dc:creator>
  <cp:keywords/>
  <dc:description/>
  <cp:lastModifiedBy>Donna Bowles</cp:lastModifiedBy>
  <cp:revision>2</cp:revision>
  <dcterms:created xsi:type="dcterms:W3CDTF">2026-02-17T11:35:00Z</dcterms:created>
  <dcterms:modified xsi:type="dcterms:W3CDTF">2026-02-17T11:35:00Z</dcterms:modified>
</cp:coreProperties>
</file>