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3E29" w14:textId="2AF00E18" w:rsidR="00FE3DCA" w:rsidRPr="00FE3DCA" w:rsidRDefault="00FE3DCA" w:rsidP="00FE3DCA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  <w:t xml:space="preserve">Data Protection Impact Assessment (DPIA) – </w:t>
      </w:r>
      <w:r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  <w:t xml:space="preserve">Salford Priors </w:t>
      </w:r>
      <w:r w:rsidRPr="00FE3DCA"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  <w:t>Parish Council Human Resources</w:t>
      </w:r>
    </w:p>
    <w:p w14:paraId="7DCA645C" w14:textId="6C9D6707" w:rsidR="00FE3DCA" w:rsidRPr="00FE3DCA" w:rsidRDefault="00FE3DCA" w:rsidP="00FE3DC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Date of Assessment:</w:t>
      </w: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B64951">
        <w:rPr>
          <w:rFonts w:asciiTheme="majorHAnsi" w:eastAsia="Times New Roman" w:hAnsiTheme="majorHAnsi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28/10/2025</w:t>
      </w: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</w: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Assessor:</w:t>
      </w: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Donna Bowles</w:t>
      </w: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</w: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Version:</w:t>
      </w: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1.0</w:t>
      </w:r>
    </w:p>
    <w:p w14:paraId="587929D6" w14:textId="77777777" w:rsidR="00FE3DCA" w:rsidRPr="00FE3DCA" w:rsidRDefault="00F05C7A" w:rsidP="00FE3DC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57F35DC1">
          <v:rect id="_x0000_i1033" alt="" style="width:418.85pt;height:.05pt;mso-width-percent:0;mso-height-percent:0;mso-width-percent:0;mso-height-percent:0" o:hrpct="895" o:hralign="center" o:hrstd="t" o:hr="t" fillcolor="#a0a0a0" stroked="f"/>
        </w:pict>
      </w:r>
    </w:p>
    <w:p w14:paraId="351C7F85" w14:textId="22F21474" w:rsidR="00FE3DCA" w:rsidRDefault="00FE3DCA" w:rsidP="00FE3DCA">
      <w:pPr>
        <w:pStyle w:val="ListParagraph"/>
        <w:numPr>
          <w:ilvl w:val="0"/>
          <w:numId w:val="18"/>
        </w:numPr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Purpose of DPIA</w:t>
      </w:r>
    </w:p>
    <w:p w14:paraId="032ADB60" w14:textId="77777777" w:rsidR="00FE3DCA" w:rsidRPr="00FE3DCA" w:rsidRDefault="00FE3DCA" w:rsidP="00FE3DCA">
      <w:pPr>
        <w:pStyle w:val="ListParagraph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p w14:paraId="29015BAE" w14:textId="5DAB0AF0" w:rsidR="00FE3DCA" w:rsidRPr="00FE3DCA" w:rsidRDefault="00FE3DCA" w:rsidP="00FE3DC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This DPIA assesses the processing of personal data related to human resources (HR) activities of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Salford Priors Parish Council</w:t>
      </w: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, ensuring compliance with UK GDPR and the Data Protection Act 2018. Its purpose is to identify and mitigate privacy risks associated with managing staff, councillor allowances, recruitment, and employment records.</w:t>
      </w:r>
    </w:p>
    <w:p w14:paraId="3426E0C7" w14:textId="77777777" w:rsidR="00FE3DCA" w:rsidRPr="00FE3DCA" w:rsidRDefault="00F05C7A" w:rsidP="00FE3DC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33154E59">
          <v:rect id="_x0000_i1032" alt="" style="width:418.85pt;height:.05pt;mso-width-percent:0;mso-height-percent:0;mso-width-percent:0;mso-height-percent:0" o:hrpct="895" o:hralign="center" o:hrstd="t" o:hr="t" fillcolor="#a0a0a0" stroked="f"/>
        </w:pict>
      </w:r>
    </w:p>
    <w:p w14:paraId="5289FF78" w14:textId="023CC0DC" w:rsidR="00FE3DCA" w:rsidRPr="00FE3DCA" w:rsidRDefault="00FE3DCA" w:rsidP="00FE3DCA">
      <w:pPr>
        <w:pStyle w:val="ListParagraph"/>
        <w:numPr>
          <w:ilvl w:val="0"/>
          <w:numId w:val="18"/>
        </w:numPr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Description of Processing</w:t>
      </w:r>
    </w:p>
    <w:p w14:paraId="0E1622AB" w14:textId="77777777" w:rsidR="00FE3DCA" w:rsidRPr="00FE3DCA" w:rsidRDefault="00FE3DCA" w:rsidP="00FE3DCA">
      <w:pPr>
        <w:pStyle w:val="ListParagraph"/>
        <w:ind w:left="360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p w14:paraId="131A7BE2" w14:textId="3761FDB2" w:rsidR="00FE3DCA" w:rsidRPr="00FE3DCA" w:rsidRDefault="00FE3DCA" w:rsidP="00FE3DCA">
      <w:pPr>
        <w:pStyle w:val="ListParagraph"/>
        <w:numPr>
          <w:ilvl w:val="0"/>
          <w:numId w:val="19"/>
        </w:num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Nature of processing</w:t>
      </w: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  <w:t>Salford Priors Parish Council collects, stores, and processes personal data for HR purposes, including:</w:t>
      </w:r>
    </w:p>
    <w:p w14:paraId="77E2158F" w14:textId="77777777" w:rsidR="00FE3DCA" w:rsidRPr="00FE3DCA" w:rsidRDefault="00FE3DCA" w:rsidP="00FE3DCA">
      <w:pPr>
        <w:pStyle w:val="ListParagraph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</w:p>
    <w:p w14:paraId="7A0F460B" w14:textId="2AA321D2" w:rsidR="00FE3DCA" w:rsidRPr="00FE3DCA" w:rsidRDefault="00FE3DCA" w:rsidP="00FE3DCA">
      <w:pPr>
        <w:numPr>
          <w:ilvl w:val="0"/>
          <w:numId w:val="9"/>
        </w:num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Recruitment and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induction</w:t>
      </w: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of staff</w:t>
      </w:r>
    </w:p>
    <w:p w14:paraId="36FF15FF" w14:textId="77777777" w:rsidR="00FE3DCA" w:rsidRPr="00FE3DCA" w:rsidRDefault="00FE3DCA" w:rsidP="00FE3DCA">
      <w:pPr>
        <w:numPr>
          <w:ilvl w:val="0"/>
          <w:numId w:val="9"/>
        </w:num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Payroll and allowances for staff and councillors</w:t>
      </w:r>
    </w:p>
    <w:p w14:paraId="3DAEDD2A" w14:textId="77777777" w:rsidR="00FE3DCA" w:rsidRPr="00FE3DCA" w:rsidRDefault="00FE3DCA" w:rsidP="00FE3DCA">
      <w:pPr>
        <w:numPr>
          <w:ilvl w:val="0"/>
          <w:numId w:val="9"/>
        </w:num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Performance management and appraisals</w:t>
      </w:r>
    </w:p>
    <w:p w14:paraId="7867675A" w14:textId="77777777" w:rsidR="00FE3DCA" w:rsidRPr="00FE3DCA" w:rsidRDefault="00FE3DCA" w:rsidP="00FE3DCA">
      <w:pPr>
        <w:numPr>
          <w:ilvl w:val="0"/>
          <w:numId w:val="9"/>
        </w:num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Training records and mandatory compliance checks</w:t>
      </w:r>
    </w:p>
    <w:p w14:paraId="31F4D265" w14:textId="77777777" w:rsidR="00FE3DCA" w:rsidRPr="00FE3DCA" w:rsidRDefault="00FE3DCA" w:rsidP="00FE3DCA">
      <w:pPr>
        <w:numPr>
          <w:ilvl w:val="0"/>
          <w:numId w:val="9"/>
        </w:num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HR-related communications</w:t>
      </w:r>
    </w:p>
    <w:p w14:paraId="18383959" w14:textId="1F7CBD01" w:rsidR="00FE3DCA" w:rsidRPr="00FE3DCA" w:rsidRDefault="00FE3DCA" w:rsidP="00FE3DCA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Types of personal data processed</w:t>
      </w:r>
    </w:p>
    <w:p w14:paraId="5B8F31F7" w14:textId="77777777" w:rsidR="00FE3DCA" w:rsidRDefault="00FE3DCA" w:rsidP="00FE3DC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FE3DCA" w14:paraId="7A27FFB9" w14:textId="77777777" w:rsidTr="00FE3DCA">
        <w:tc>
          <w:tcPr>
            <w:tcW w:w="4505" w:type="dxa"/>
          </w:tcPr>
          <w:p w14:paraId="53040965" w14:textId="2998B040" w:rsidR="00FE3DCA" w:rsidRDefault="00FE3DCA" w:rsidP="00FE3DC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Category</w:t>
            </w:r>
          </w:p>
        </w:tc>
        <w:tc>
          <w:tcPr>
            <w:tcW w:w="4505" w:type="dxa"/>
          </w:tcPr>
          <w:p w14:paraId="5CE93876" w14:textId="3DD89601" w:rsidR="00FE3DCA" w:rsidRDefault="00FE3DCA" w:rsidP="00FE3DC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Data</w:t>
            </w:r>
          </w:p>
        </w:tc>
      </w:tr>
      <w:tr w:rsidR="00FE3DCA" w14:paraId="671ABB27" w14:textId="77777777" w:rsidTr="0065350E">
        <w:tc>
          <w:tcPr>
            <w:tcW w:w="4505" w:type="dxa"/>
          </w:tcPr>
          <w:p w14:paraId="6B8A5BE2" w14:textId="0A944C94" w:rsidR="00FE3DCA" w:rsidRDefault="00FE3DCA" w:rsidP="00FE3DC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Staff &amp; councillors</w:t>
            </w:r>
          </w:p>
        </w:tc>
        <w:tc>
          <w:tcPr>
            <w:tcW w:w="4505" w:type="dxa"/>
            <w:vAlign w:val="center"/>
          </w:tcPr>
          <w:p w14:paraId="35F3DAB9" w14:textId="4A1E7296" w:rsidR="00FE3DCA" w:rsidRDefault="00FE3DCA" w:rsidP="00FE3DC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Name, address, phone/email, NI number, bank account, payroll data, emergency contacts</w:t>
            </w:r>
          </w:p>
        </w:tc>
      </w:tr>
      <w:tr w:rsidR="00FE3DCA" w14:paraId="092F1A13" w14:textId="77777777" w:rsidTr="00A910DE">
        <w:tc>
          <w:tcPr>
            <w:tcW w:w="4505" w:type="dxa"/>
          </w:tcPr>
          <w:p w14:paraId="078AC01B" w14:textId="735F536F" w:rsidR="00FE3DCA" w:rsidRDefault="00FE3DCA" w:rsidP="00FE3DC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Recruitment</w:t>
            </w:r>
          </w:p>
        </w:tc>
        <w:tc>
          <w:tcPr>
            <w:tcW w:w="4505" w:type="dxa"/>
            <w:vAlign w:val="center"/>
          </w:tcPr>
          <w:p w14:paraId="70F885BA" w14:textId="7A963729" w:rsidR="00FE3DCA" w:rsidRDefault="00FE3DCA" w:rsidP="00FE3DC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CVs, references, interview notes, qualifications, right-to-work documents</w:t>
            </w:r>
          </w:p>
        </w:tc>
      </w:tr>
      <w:tr w:rsidR="00FE3DCA" w14:paraId="7612F207" w14:textId="77777777" w:rsidTr="009355EE">
        <w:tc>
          <w:tcPr>
            <w:tcW w:w="4505" w:type="dxa"/>
          </w:tcPr>
          <w:p w14:paraId="6F07F4C9" w14:textId="5CE7A9BB" w:rsidR="00FE3DCA" w:rsidRDefault="00FE3DCA" w:rsidP="00FE3DC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HR management</w:t>
            </w:r>
          </w:p>
        </w:tc>
        <w:tc>
          <w:tcPr>
            <w:tcW w:w="4505" w:type="dxa"/>
            <w:vAlign w:val="center"/>
          </w:tcPr>
          <w:p w14:paraId="1F46B177" w14:textId="73574B53" w:rsidR="00FE3DCA" w:rsidRDefault="00FE3DCA" w:rsidP="00FE3DC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erformance reviews, training records, disciplinary actions</w:t>
            </w:r>
          </w:p>
        </w:tc>
      </w:tr>
      <w:tr w:rsidR="00FE3DCA" w14:paraId="5A5E3CC8" w14:textId="77777777" w:rsidTr="00FE3DCA">
        <w:tc>
          <w:tcPr>
            <w:tcW w:w="4505" w:type="dxa"/>
          </w:tcPr>
          <w:p w14:paraId="4FDBE18A" w14:textId="236FA968" w:rsidR="00FE3DCA" w:rsidRDefault="00FE3DCA" w:rsidP="00FE3DC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Health &amp; safety</w:t>
            </w:r>
          </w:p>
        </w:tc>
        <w:tc>
          <w:tcPr>
            <w:tcW w:w="4505" w:type="dxa"/>
          </w:tcPr>
          <w:p w14:paraId="416853A8" w14:textId="0F5327F3" w:rsidR="00FE3DCA" w:rsidRDefault="00FE3DCA" w:rsidP="00FE3DC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Medical info for adjustments, sickness records (special category data)</w:t>
            </w:r>
          </w:p>
        </w:tc>
      </w:tr>
    </w:tbl>
    <w:p w14:paraId="4EC8EEA8" w14:textId="77777777" w:rsidR="00FE3DCA" w:rsidRPr="00FE3DCA" w:rsidRDefault="00FE3DCA" w:rsidP="00FE3DC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c) Special category data</w:t>
      </w:r>
    </w:p>
    <w:p w14:paraId="0D787DC6" w14:textId="77777777" w:rsidR="00FE3DCA" w:rsidRPr="00FE3DCA" w:rsidRDefault="00FE3DCA" w:rsidP="00FE3DCA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Health information related to sickness absence or adjustments</w:t>
      </w:r>
    </w:p>
    <w:p w14:paraId="627DC721" w14:textId="77777777" w:rsidR="00FE3DCA" w:rsidRPr="00FE3DCA" w:rsidRDefault="00FE3DCA" w:rsidP="00FE3DCA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Information on disabilities for reasonable adjustments</w:t>
      </w:r>
    </w:p>
    <w:p w14:paraId="0E4D31A8" w14:textId="77777777" w:rsidR="00FE3DCA" w:rsidRPr="00FE3DCA" w:rsidRDefault="00FE3DCA" w:rsidP="00FE3DCA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Occasional diversity data for equality monitoring</w:t>
      </w:r>
    </w:p>
    <w:p w14:paraId="4276A664" w14:textId="77777777" w:rsidR="00FE3DCA" w:rsidRPr="00FE3DCA" w:rsidRDefault="00FE3DCA" w:rsidP="00FE3DC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d) Method of processing</w:t>
      </w:r>
    </w:p>
    <w:p w14:paraId="5CDA122F" w14:textId="77777777" w:rsidR="00FE3DCA" w:rsidRPr="00FE3DCA" w:rsidRDefault="00FE3DCA" w:rsidP="00FE3DCA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Digital: HR software or secure spreadsheets (e.g., SAGE HR, Excel in secure folders)</w:t>
      </w:r>
    </w:p>
    <w:p w14:paraId="34F87655" w14:textId="77777777" w:rsidR="00FE3DCA" w:rsidRPr="00FE3DCA" w:rsidRDefault="00FE3DCA" w:rsidP="00FE3DCA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Physical: Paper contracts, medical certificates, and disciplinary records stored in locked cabinets</w:t>
      </w:r>
    </w:p>
    <w:p w14:paraId="3AE06BE1" w14:textId="77777777" w:rsidR="00FE3DCA" w:rsidRPr="00FE3DCA" w:rsidRDefault="00FE3DCA" w:rsidP="00FE3DCA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Sharing: Limited to payroll provider, auditors, insurance, and statutory bodies via secure channels</w:t>
      </w:r>
    </w:p>
    <w:p w14:paraId="4E9757C7" w14:textId="77777777" w:rsidR="00FE3DCA" w:rsidRPr="00FE3DCA" w:rsidRDefault="00F05C7A" w:rsidP="00FE3DC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1A1F3DAA">
          <v:rect id="_x0000_i1031" alt="" style="width:418.85pt;height:.05pt;mso-width-percent:0;mso-height-percent:0;mso-width-percent:0;mso-height-percent:0" o:hrpct="895" o:hralign="center" o:hrstd="t" o:hr="t" fillcolor="#a0a0a0" stroked="f"/>
        </w:pict>
      </w:r>
    </w:p>
    <w:p w14:paraId="2A487855" w14:textId="77777777" w:rsidR="00FE3DCA" w:rsidRDefault="00FE3DCA" w:rsidP="00FE3DC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p w14:paraId="1F0F3A3F" w14:textId="33E31925" w:rsidR="00FE3DCA" w:rsidRPr="00FE3DCA" w:rsidRDefault="00FE3DCA" w:rsidP="00FE3DC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lastRenderedPageBreak/>
        <w:t>3. Necessity and Proportionality</w:t>
      </w:r>
    </w:p>
    <w:p w14:paraId="263A4B45" w14:textId="77777777" w:rsidR="00FE3DCA" w:rsidRPr="00FE3DCA" w:rsidRDefault="00FE3DCA" w:rsidP="00FE3DC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Processing is necessary to:</w:t>
      </w:r>
    </w:p>
    <w:p w14:paraId="25665B61" w14:textId="77777777" w:rsidR="00FE3DCA" w:rsidRPr="00FE3DCA" w:rsidRDefault="00FE3DCA" w:rsidP="00FE3DCA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Meet employment law obligations (Employment Rights Act 1996, Equality Act 2010)</w:t>
      </w:r>
    </w:p>
    <w:p w14:paraId="62CC4C63" w14:textId="77777777" w:rsidR="00FE3DCA" w:rsidRPr="00FE3DCA" w:rsidRDefault="00FE3DCA" w:rsidP="00FE3DCA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Ensure accurate payroll and pension contributions</w:t>
      </w:r>
    </w:p>
    <w:p w14:paraId="529B5BFD" w14:textId="77777777" w:rsidR="00FE3DCA" w:rsidRPr="00FE3DCA" w:rsidRDefault="00FE3DCA" w:rsidP="00FE3DCA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Monitor and support employee welfare</w:t>
      </w:r>
    </w:p>
    <w:p w14:paraId="2D24D393" w14:textId="77777777" w:rsidR="00FE3DCA" w:rsidRPr="00FE3DCA" w:rsidRDefault="00FE3DCA" w:rsidP="00FE3DCA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Maintain records for audits, statutory reporting, and legal claims</w:t>
      </w:r>
    </w:p>
    <w:p w14:paraId="78D57FFF" w14:textId="77777777" w:rsidR="00FE3DCA" w:rsidRPr="00FE3DCA" w:rsidRDefault="00FE3DCA" w:rsidP="00FE3DC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Data minimisation measures:</w:t>
      </w:r>
    </w:p>
    <w:p w14:paraId="319C526C" w14:textId="77777777" w:rsidR="00FE3DCA" w:rsidRPr="00FE3DCA" w:rsidRDefault="00FE3DCA" w:rsidP="00FE3DCA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Only essential HR fields captured for employment purposes</w:t>
      </w:r>
    </w:p>
    <w:p w14:paraId="5512CB94" w14:textId="77777777" w:rsidR="00FE3DCA" w:rsidRPr="00FE3DCA" w:rsidRDefault="00FE3DCA" w:rsidP="00FE3DCA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Paper and digital files kept securely and access restricted</w:t>
      </w:r>
    </w:p>
    <w:p w14:paraId="4D18DE82" w14:textId="77777777" w:rsidR="00FE3DCA" w:rsidRPr="00FE3DCA" w:rsidRDefault="00FE3DCA" w:rsidP="00FE3DCA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Data retention schedules followed strictly</w:t>
      </w:r>
    </w:p>
    <w:p w14:paraId="4E1CF0BA" w14:textId="77777777" w:rsidR="00FE3DCA" w:rsidRPr="00FE3DCA" w:rsidRDefault="00F05C7A" w:rsidP="00FE3DC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1DBF7078">
          <v:rect id="_x0000_i1030" alt="" style="width:418.85pt;height:.05pt;mso-width-percent:0;mso-height-percent:0;mso-width-percent:0;mso-height-percent:0" o:hrpct="895" o:hralign="center" o:hrstd="t" o:hr="t" fillcolor="#a0a0a0" stroked="f"/>
        </w:pict>
      </w:r>
    </w:p>
    <w:p w14:paraId="474BDEB2" w14:textId="77777777" w:rsidR="00FE3DCA" w:rsidRPr="00FE3DCA" w:rsidRDefault="00FE3DCA" w:rsidP="00FE3DC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4. Consultation</w:t>
      </w:r>
    </w:p>
    <w:p w14:paraId="44AB254F" w14:textId="77777777" w:rsidR="00FE3DCA" w:rsidRPr="00FE3DCA" w:rsidRDefault="00FE3DCA" w:rsidP="00FE3DCA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Staff informed of HR data collection and rights via privacy notices</w:t>
      </w:r>
    </w:p>
    <w:p w14:paraId="74C32EF3" w14:textId="77777777" w:rsidR="00FE3DCA" w:rsidRPr="00FE3DCA" w:rsidRDefault="00FE3DCA" w:rsidP="00FE3DCA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Council consulted with ICO guidance on HR processing</w:t>
      </w:r>
    </w:p>
    <w:p w14:paraId="7EED05A7" w14:textId="77777777" w:rsidR="00FE3DCA" w:rsidRPr="00FE3DCA" w:rsidRDefault="00FE3DCA" w:rsidP="00FE3DCA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External payroll and HR software providers advised on GDPR compliance</w:t>
      </w:r>
    </w:p>
    <w:p w14:paraId="65FECEBA" w14:textId="77777777" w:rsidR="00FE3DCA" w:rsidRPr="00FE3DCA" w:rsidRDefault="00F05C7A" w:rsidP="00FE3DC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0F814CBA">
          <v:rect id="_x0000_i1029" alt="" style="width:418.85pt;height:.05pt;mso-width-percent:0;mso-height-percent:0;mso-width-percent:0;mso-height-percent:0" o:hrpct="895" o:hralign="center" o:hrstd="t" o:hr="t" fillcolor="#a0a0a0" stroked="f"/>
        </w:pict>
      </w:r>
    </w:p>
    <w:p w14:paraId="4F5D3BE2" w14:textId="0DD1854E" w:rsidR="00FE3DCA" w:rsidRDefault="00FE3DCA" w:rsidP="00FE3DC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5. Assessment of Risks to Individuals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312"/>
        <w:gridCol w:w="992"/>
        <w:gridCol w:w="1418"/>
        <w:gridCol w:w="3486"/>
      </w:tblGrid>
      <w:tr w:rsidR="00FE3DCA" w14:paraId="6842730F" w14:textId="77777777" w:rsidTr="00FE3DCA">
        <w:tc>
          <w:tcPr>
            <w:tcW w:w="1802" w:type="dxa"/>
          </w:tcPr>
          <w:p w14:paraId="415E776A" w14:textId="0AA6E37B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Risk</w:t>
            </w:r>
          </w:p>
        </w:tc>
        <w:tc>
          <w:tcPr>
            <w:tcW w:w="1312" w:type="dxa"/>
            <w:vAlign w:val="center"/>
          </w:tcPr>
          <w:p w14:paraId="6017F985" w14:textId="7FCF383B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Likelihood</w:t>
            </w:r>
          </w:p>
        </w:tc>
        <w:tc>
          <w:tcPr>
            <w:tcW w:w="992" w:type="dxa"/>
            <w:vAlign w:val="center"/>
          </w:tcPr>
          <w:p w14:paraId="12CC3F42" w14:textId="10748598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Impact</w:t>
            </w:r>
          </w:p>
        </w:tc>
        <w:tc>
          <w:tcPr>
            <w:tcW w:w="1418" w:type="dxa"/>
          </w:tcPr>
          <w:p w14:paraId="40A37595" w14:textId="254A4855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Risk Rating</w:t>
            </w:r>
          </w:p>
        </w:tc>
        <w:tc>
          <w:tcPr>
            <w:tcW w:w="3486" w:type="dxa"/>
          </w:tcPr>
          <w:p w14:paraId="59E2AE38" w14:textId="76C50DC9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Mitigation</w:t>
            </w:r>
          </w:p>
        </w:tc>
      </w:tr>
      <w:tr w:rsidR="00FE3DCA" w14:paraId="72EA4E84" w14:textId="77777777" w:rsidTr="00FE3DCA">
        <w:tc>
          <w:tcPr>
            <w:tcW w:w="1802" w:type="dxa"/>
          </w:tcPr>
          <w:p w14:paraId="5844E2AF" w14:textId="5004D593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Loss of paper HR files</w:t>
            </w:r>
          </w:p>
        </w:tc>
        <w:tc>
          <w:tcPr>
            <w:tcW w:w="1312" w:type="dxa"/>
          </w:tcPr>
          <w:p w14:paraId="65B9446A" w14:textId="7A7746CB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992" w:type="dxa"/>
          </w:tcPr>
          <w:p w14:paraId="0F82857B" w14:textId="7B54ABFE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418" w:type="dxa"/>
          </w:tcPr>
          <w:p w14:paraId="1D477389" w14:textId="6FD045D5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486" w:type="dxa"/>
          </w:tcPr>
          <w:p w14:paraId="59281CEB" w14:textId="62B8BD44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Locked cabinets, restricted office access, shredding after retention period</w:t>
            </w:r>
          </w:p>
        </w:tc>
      </w:tr>
      <w:tr w:rsidR="00FE3DCA" w14:paraId="21D71D92" w14:textId="77777777" w:rsidTr="00FE3DCA">
        <w:tc>
          <w:tcPr>
            <w:tcW w:w="1802" w:type="dxa"/>
          </w:tcPr>
          <w:p w14:paraId="21D3146B" w14:textId="3E9817C7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Cyber breach of HR systems</w:t>
            </w:r>
          </w:p>
        </w:tc>
        <w:tc>
          <w:tcPr>
            <w:tcW w:w="1312" w:type="dxa"/>
            <w:vAlign w:val="center"/>
          </w:tcPr>
          <w:p w14:paraId="39C30717" w14:textId="1115A459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992" w:type="dxa"/>
            <w:vAlign w:val="center"/>
          </w:tcPr>
          <w:p w14:paraId="09F3DC5E" w14:textId="139E9800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418" w:type="dxa"/>
            <w:vAlign w:val="center"/>
          </w:tcPr>
          <w:p w14:paraId="6B59C1E9" w14:textId="4639FB49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486" w:type="dxa"/>
          </w:tcPr>
          <w:p w14:paraId="6D70F796" w14:textId="4E1E478F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Strong passwords, 2FA, encrypted storage, regular backups</w:t>
            </w:r>
          </w:p>
        </w:tc>
      </w:tr>
      <w:tr w:rsidR="00FE3DCA" w14:paraId="0B3E8ECE" w14:textId="77777777" w:rsidTr="00FE3DCA">
        <w:tc>
          <w:tcPr>
            <w:tcW w:w="1802" w:type="dxa"/>
          </w:tcPr>
          <w:p w14:paraId="5496290E" w14:textId="4ECC438F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Accidental disclosure of sensitive info via email</w:t>
            </w:r>
          </w:p>
        </w:tc>
        <w:tc>
          <w:tcPr>
            <w:tcW w:w="1312" w:type="dxa"/>
            <w:vAlign w:val="center"/>
          </w:tcPr>
          <w:p w14:paraId="1FB1CEB6" w14:textId="6A95430B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992" w:type="dxa"/>
            <w:vAlign w:val="center"/>
          </w:tcPr>
          <w:p w14:paraId="0353E0AE" w14:textId="5F5CFA47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418" w:type="dxa"/>
            <w:vAlign w:val="center"/>
          </w:tcPr>
          <w:p w14:paraId="43DF2E68" w14:textId="0CFA613E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486" w:type="dxa"/>
          </w:tcPr>
          <w:p w14:paraId="6404124A" w14:textId="376CD498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Staff training, encrypted emails, restricted sharing</w:t>
            </w:r>
          </w:p>
        </w:tc>
      </w:tr>
      <w:tr w:rsidR="00FE3DCA" w14:paraId="13C5CDFD" w14:textId="77777777" w:rsidTr="00FE3DCA">
        <w:tc>
          <w:tcPr>
            <w:tcW w:w="1802" w:type="dxa"/>
          </w:tcPr>
          <w:p w14:paraId="79F93A37" w14:textId="53A30804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Unauthori</w:t>
            </w:r>
            <w:r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ed internal access</w:t>
            </w:r>
          </w:p>
        </w:tc>
        <w:tc>
          <w:tcPr>
            <w:tcW w:w="1312" w:type="dxa"/>
            <w:vAlign w:val="center"/>
          </w:tcPr>
          <w:p w14:paraId="693B57D3" w14:textId="134DF2AE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992" w:type="dxa"/>
            <w:vAlign w:val="center"/>
          </w:tcPr>
          <w:p w14:paraId="24A51FA2" w14:textId="6E9F945D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418" w:type="dxa"/>
            <w:vAlign w:val="center"/>
          </w:tcPr>
          <w:p w14:paraId="6DBB457E" w14:textId="7B0BA081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486" w:type="dxa"/>
          </w:tcPr>
          <w:p w14:paraId="4465E317" w14:textId="2AC9C038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Role-based access, audit logs, HR files segregated from general office access</w:t>
            </w:r>
          </w:p>
        </w:tc>
      </w:tr>
      <w:tr w:rsidR="00FE3DCA" w14:paraId="47199A95" w14:textId="77777777" w:rsidTr="00FE3DCA">
        <w:tc>
          <w:tcPr>
            <w:tcW w:w="1802" w:type="dxa"/>
          </w:tcPr>
          <w:p w14:paraId="267C1437" w14:textId="56B33C04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Misuse of health data</w:t>
            </w:r>
          </w:p>
        </w:tc>
        <w:tc>
          <w:tcPr>
            <w:tcW w:w="1312" w:type="dxa"/>
            <w:vAlign w:val="center"/>
          </w:tcPr>
          <w:p w14:paraId="01204964" w14:textId="5C40CA14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992" w:type="dxa"/>
            <w:vAlign w:val="center"/>
          </w:tcPr>
          <w:p w14:paraId="4EAC38C6" w14:textId="53238E98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418" w:type="dxa"/>
            <w:vAlign w:val="center"/>
          </w:tcPr>
          <w:p w14:paraId="400AEDA8" w14:textId="1622302B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486" w:type="dxa"/>
          </w:tcPr>
          <w:p w14:paraId="7E4C1048" w14:textId="6A6BA343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Limited access to HR/admin only, consent where required, strict retention and deletion policies</w:t>
            </w:r>
          </w:p>
        </w:tc>
      </w:tr>
      <w:tr w:rsidR="00FE3DCA" w14:paraId="5DC81BB1" w14:textId="77777777" w:rsidTr="00FE3DCA">
        <w:tc>
          <w:tcPr>
            <w:tcW w:w="1802" w:type="dxa"/>
          </w:tcPr>
          <w:p w14:paraId="3C4C2CB5" w14:textId="114E9393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Breach in recruitment data (e.g., CVs)</w:t>
            </w:r>
          </w:p>
        </w:tc>
        <w:tc>
          <w:tcPr>
            <w:tcW w:w="1312" w:type="dxa"/>
            <w:vAlign w:val="center"/>
          </w:tcPr>
          <w:p w14:paraId="515BE8C8" w14:textId="6A70D6E5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992" w:type="dxa"/>
            <w:vAlign w:val="center"/>
          </w:tcPr>
          <w:p w14:paraId="4DFE1001" w14:textId="2DBB08D5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418" w:type="dxa"/>
            <w:vAlign w:val="center"/>
          </w:tcPr>
          <w:p w14:paraId="26B8DDEB" w14:textId="7B4E9ED4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486" w:type="dxa"/>
            <w:vAlign w:val="center"/>
          </w:tcPr>
          <w:p w14:paraId="1D2634E6" w14:textId="285FD449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storage, deletion after 6 months if not hired, confidentiality agreements</w:t>
            </w:r>
          </w:p>
        </w:tc>
      </w:tr>
    </w:tbl>
    <w:p w14:paraId="1ED6916C" w14:textId="77777777" w:rsidR="00FE3DCA" w:rsidRPr="00FE3DCA" w:rsidRDefault="00F05C7A" w:rsidP="00FE3DC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53E002D0">
          <v:rect id="_x0000_i1028" alt="" style="width:418.85pt;height:.05pt;mso-width-percent:0;mso-height-percent:0;mso-width-percent:0;mso-height-percent:0" o:hrpct="895" o:hralign="center" o:hrstd="t" o:hr="t" fillcolor="#a0a0a0" stroked="f"/>
        </w:pict>
      </w:r>
    </w:p>
    <w:p w14:paraId="2895AEF5" w14:textId="77777777" w:rsidR="00FE3DCA" w:rsidRPr="00FE3DCA" w:rsidRDefault="00FE3DCA" w:rsidP="00FE3DC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6. Measures to Reduce Risks</w:t>
      </w:r>
    </w:p>
    <w:p w14:paraId="1165B4DD" w14:textId="77777777" w:rsidR="00FE3DCA" w:rsidRPr="00FE3DCA" w:rsidRDefault="00FE3DCA" w:rsidP="00FE3DCA">
      <w:pPr>
        <w:numPr>
          <w:ilvl w:val="0"/>
          <w:numId w:val="1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Mandatory GDPR and HR data handling training for staff and councillors</w:t>
      </w:r>
    </w:p>
    <w:p w14:paraId="05D83D2F" w14:textId="77777777" w:rsidR="00FE3DCA" w:rsidRPr="00FE3DCA" w:rsidRDefault="00FE3DCA" w:rsidP="00FE3DCA">
      <w:pPr>
        <w:numPr>
          <w:ilvl w:val="0"/>
          <w:numId w:val="1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Paper HR files stored in locked, fireproof cabinets</w:t>
      </w:r>
    </w:p>
    <w:p w14:paraId="53AFDEB5" w14:textId="77777777" w:rsidR="00FE3DCA" w:rsidRPr="00FE3DCA" w:rsidRDefault="00FE3DCA" w:rsidP="00FE3DCA">
      <w:pPr>
        <w:numPr>
          <w:ilvl w:val="0"/>
          <w:numId w:val="1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Access to HR digital systems restricted to authorised HR personnel</w:t>
      </w:r>
    </w:p>
    <w:p w14:paraId="1CFFAD28" w14:textId="77777777" w:rsidR="00FE3DCA" w:rsidRPr="00FE3DCA" w:rsidRDefault="00FE3DCA" w:rsidP="00FE3DCA">
      <w:pPr>
        <w:numPr>
          <w:ilvl w:val="0"/>
          <w:numId w:val="1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Role-based permissions and audit logs for HR software</w:t>
      </w:r>
    </w:p>
    <w:p w14:paraId="17A2A47C" w14:textId="77777777" w:rsidR="00FE3DCA" w:rsidRPr="00FE3DCA" w:rsidRDefault="00FE3DCA" w:rsidP="00FE3DCA">
      <w:pPr>
        <w:numPr>
          <w:ilvl w:val="0"/>
          <w:numId w:val="1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Secure shredding of outdated records and encrypted deletion of digital files</w:t>
      </w:r>
    </w:p>
    <w:p w14:paraId="558CF16D" w14:textId="77777777" w:rsidR="00FE3DCA" w:rsidRPr="00FE3DCA" w:rsidRDefault="00FE3DCA" w:rsidP="00FE3DCA">
      <w:pPr>
        <w:numPr>
          <w:ilvl w:val="0"/>
          <w:numId w:val="1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HR data included in regular internal audits</w:t>
      </w:r>
    </w:p>
    <w:p w14:paraId="1B16CE46" w14:textId="77777777" w:rsidR="00FE3DCA" w:rsidRPr="00FE3DCA" w:rsidRDefault="00F05C7A" w:rsidP="00FE3DC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lastRenderedPageBreak/>
        <w:pict w14:anchorId="5E2E9BB9">
          <v:rect id="_x0000_i1027" alt="" style="width:418.85pt;height:.05pt;mso-width-percent:0;mso-height-percent:0;mso-width-percent:0;mso-height-percent:0" o:hrpct="895" o:hralign="center" o:hrstd="t" o:hr="t" fillcolor="#a0a0a0" stroked="f"/>
        </w:pict>
      </w:r>
    </w:p>
    <w:p w14:paraId="316736FC" w14:textId="6185DD15" w:rsidR="00FE3DCA" w:rsidRDefault="00FE3DCA" w:rsidP="00FE3DC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7. Data Retention and Disposal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FE3DCA" w14:paraId="7BD82DBE" w14:textId="77777777" w:rsidTr="00FE3DCA">
        <w:tc>
          <w:tcPr>
            <w:tcW w:w="3003" w:type="dxa"/>
          </w:tcPr>
          <w:p w14:paraId="11DB24B6" w14:textId="2BFCEA85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Record Type</w:t>
            </w:r>
          </w:p>
        </w:tc>
        <w:tc>
          <w:tcPr>
            <w:tcW w:w="3003" w:type="dxa"/>
          </w:tcPr>
          <w:p w14:paraId="1F1C07C0" w14:textId="71153073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Retention Period</w:t>
            </w:r>
          </w:p>
        </w:tc>
        <w:tc>
          <w:tcPr>
            <w:tcW w:w="3004" w:type="dxa"/>
          </w:tcPr>
          <w:p w14:paraId="11621BFB" w14:textId="7728AB3C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Disposal Method</w:t>
            </w:r>
          </w:p>
        </w:tc>
      </w:tr>
      <w:tr w:rsidR="00FE3DCA" w14:paraId="3041500B" w14:textId="77777777" w:rsidTr="00FE3DCA">
        <w:tc>
          <w:tcPr>
            <w:tcW w:w="3003" w:type="dxa"/>
            <w:vAlign w:val="center"/>
          </w:tcPr>
          <w:p w14:paraId="2F5FCFC1" w14:textId="2A464AC0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Employment contracts</w:t>
            </w:r>
          </w:p>
        </w:tc>
        <w:tc>
          <w:tcPr>
            <w:tcW w:w="3003" w:type="dxa"/>
            <w:vAlign w:val="center"/>
          </w:tcPr>
          <w:p w14:paraId="09B1F103" w14:textId="3D4E7302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6 years after termination</w:t>
            </w:r>
          </w:p>
        </w:tc>
        <w:tc>
          <w:tcPr>
            <w:tcW w:w="3004" w:type="dxa"/>
            <w:vAlign w:val="center"/>
          </w:tcPr>
          <w:p w14:paraId="0A77C806" w14:textId="0273FCE8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shredding / secure digital deletion</w:t>
            </w:r>
          </w:p>
        </w:tc>
      </w:tr>
      <w:tr w:rsidR="00FE3DCA" w14:paraId="08A707B4" w14:textId="77777777" w:rsidTr="00FE3DCA">
        <w:tc>
          <w:tcPr>
            <w:tcW w:w="3003" w:type="dxa"/>
            <w:vAlign w:val="center"/>
          </w:tcPr>
          <w:p w14:paraId="54A882DF" w14:textId="7776B0D4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Payroll records</w:t>
            </w:r>
          </w:p>
        </w:tc>
        <w:tc>
          <w:tcPr>
            <w:tcW w:w="3003" w:type="dxa"/>
            <w:vAlign w:val="center"/>
          </w:tcPr>
          <w:p w14:paraId="5FB18CC9" w14:textId="3FDCD99B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7 years</w:t>
            </w:r>
          </w:p>
        </w:tc>
        <w:tc>
          <w:tcPr>
            <w:tcW w:w="3004" w:type="dxa"/>
            <w:vAlign w:val="center"/>
          </w:tcPr>
          <w:p w14:paraId="3972EAD0" w14:textId="4FBF2071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shredding / secure digital deletion</w:t>
            </w:r>
          </w:p>
        </w:tc>
      </w:tr>
      <w:tr w:rsidR="00FE3DCA" w14:paraId="478F2843" w14:textId="77777777" w:rsidTr="00FE3DCA">
        <w:tc>
          <w:tcPr>
            <w:tcW w:w="3003" w:type="dxa"/>
            <w:vAlign w:val="center"/>
          </w:tcPr>
          <w:p w14:paraId="0ADF4B93" w14:textId="17C1FFD2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Recruitment applications (unsuccessful)</w:t>
            </w:r>
          </w:p>
        </w:tc>
        <w:tc>
          <w:tcPr>
            <w:tcW w:w="3003" w:type="dxa"/>
            <w:vAlign w:val="center"/>
          </w:tcPr>
          <w:p w14:paraId="33630F4F" w14:textId="0DFA320D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6 months</w:t>
            </w:r>
          </w:p>
        </w:tc>
        <w:tc>
          <w:tcPr>
            <w:tcW w:w="3004" w:type="dxa"/>
            <w:vAlign w:val="center"/>
          </w:tcPr>
          <w:p w14:paraId="7A4F196B" w14:textId="300D2CBF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Shredding / secure deletion</w:t>
            </w:r>
          </w:p>
        </w:tc>
      </w:tr>
      <w:tr w:rsidR="00FE3DCA" w14:paraId="3DE43B99" w14:textId="77777777" w:rsidTr="00FE3DCA">
        <w:tc>
          <w:tcPr>
            <w:tcW w:w="3003" w:type="dxa"/>
            <w:vAlign w:val="center"/>
          </w:tcPr>
          <w:p w14:paraId="5A087F0F" w14:textId="77D7247C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Health and absence records</w:t>
            </w:r>
          </w:p>
        </w:tc>
        <w:tc>
          <w:tcPr>
            <w:tcW w:w="3003" w:type="dxa"/>
            <w:vAlign w:val="center"/>
          </w:tcPr>
          <w:p w14:paraId="12FF51CC" w14:textId="25954463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6 years after employment ends</w:t>
            </w:r>
          </w:p>
        </w:tc>
        <w:tc>
          <w:tcPr>
            <w:tcW w:w="3004" w:type="dxa"/>
            <w:vAlign w:val="center"/>
          </w:tcPr>
          <w:p w14:paraId="67F1AF70" w14:textId="01A3E594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shredding / secure digital deletion</w:t>
            </w:r>
          </w:p>
        </w:tc>
      </w:tr>
      <w:tr w:rsidR="00FE3DCA" w14:paraId="2E7177CD" w14:textId="77777777" w:rsidTr="00FE3DCA">
        <w:tc>
          <w:tcPr>
            <w:tcW w:w="3003" w:type="dxa"/>
            <w:vAlign w:val="center"/>
          </w:tcPr>
          <w:p w14:paraId="77CF233D" w14:textId="7D48B1E6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Performance appraisals</w:t>
            </w:r>
          </w:p>
        </w:tc>
        <w:tc>
          <w:tcPr>
            <w:tcW w:w="3003" w:type="dxa"/>
            <w:vAlign w:val="center"/>
          </w:tcPr>
          <w:p w14:paraId="6087C003" w14:textId="69E7528B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6 years</w:t>
            </w:r>
          </w:p>
        </w:tc>
        <w:tc>
          <w:tcPr>
            <w:tcW w:w="3004" w:type="dxa"/>
            <w:vAlign w:val="center"/>
          </w:tcPr>
          <w:p w14:paraId="52DE1FA9" w14:textId="0CD08C7E" w:rsidR="00FE3DCA" w:rsidRDefault="00FE3DCA" w:rsidP="00FE3DC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3DC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Shredding / secure deletion</w:t>
            </w:r>
          </w:p>
        </w:tc>
      </w:tr>
    </w:tbl>
    <w:p w14:paraId="4241C9DA" w14:textId="77777777" w:rsidR="00FE3DCA" w:rsidRPr="00FE3DCA" w:rsidRDefault="00FE3DCA" w:rsidP="00FE3DC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p w14:paraId="6D2A8B69" w14:textId="77777777" w:rsidR="00FE3DCA" w:rsidRPr="00FE3DCA" w:rsidRDefault="00F05C7A" w:rsidP="00FE3DC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790BA185">
          <v:rect id="_x0000_i1026" alt="" style="width:418.85pt;height:.05pt;mso-width-percent:0;mso-height-percent:0;mso-width-percent:0;mso-height-percent:0" o:hrpct="895" o:hralign="center" o:hrstd="t" o:hr="t" fillcolor="#a0a0a0" stroked="f"/>
        </w:pict>
      </w:r>
    </w:p>
    <w:p w14:paraId="14331A75" w14:textId="77777777" w:rsidR="00FE3DCA" w:rsidRPr="00FE3DCA" w:rsidRDefault="00FE3DCA" w:rsidP="00FE3DC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8. Approval and Review</w:t>
      </w:r>
    </w:p>
    <w:p w14:paraId="078AAFC8" w14:textId="7884DEC5" w:rsidR="00FE3DCA" w:rsidRPr="00FE3DCA" w:rsidRDefault="00FE3DCA" w:rsidP="00FE3DCA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DPIA Approved by:</w:t>
      </w: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Kim James, Chairman</w:t>
      </w:r>
    </w:p>
    <w:p w14:paraId="6E8644C0" w14:textId="779028B5" w:rsidR="00FE3DCA" w:rsidRPr="00FE3DCA" w:rsidRDefault="00FE3DCA" w:rsidP="00FE3DCA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Review Date</w:t>
      </w:r>
      <w:r w:rsidRPr="00B64951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:</w:t>
      </w:r>
      <w:r w:rsidRPr="00B64951">
        <w:rPr>
          <w:rFonts w:asciiTheme="majorHAnsi" w:eastAsia="Times New Roman" w:hAnsiTheme="majorHAnsi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="00D36F83" w:rsidRPr="00B64951">
        <w:rPr>
          <w:rFonts w:asciiTheme="majorHAnsi" w:eastAsia="Times New Roman" w:hAnsiTheme="majorHAnsi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April 2027</w:t>
      </w:r>
      <w:r w:rsidRPr="00B64951">
        <w:rPr>
          <w:rFonts w:asciiTheme="majorHAnsi" w:eastAsia="Times New Roman" w:hAnsiTheme="majorHAnsi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(annually or if HR processing changes)</w:t>
      </w:r>
    </w:p>
    <w:p w14:paraId="30086353" w14:textId="77777777" w:rsidR="00FE3DCA" w:rsidRPr="00FE3DCA" w:rsidRDefault="00FE3DCA" w:rsidP="00FE3DC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Notes:</w:t>
      </w: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This DPIA will be reviewed if HR processes are updated, new software is introduced, or if there is a personal data breach.</w:t>
      </w:r>
    </w:p>
    <w:p w14:paraId="4CD73E71" w14:textId="77777777" w:rsidR="00FE3DCA" w:rsidRPr="00FE3DCA" w:rsidRDefault="00F05C7A" w:rsidP="00FE3DC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6FD46EB3">
          <v:rect id="_x0000_i1025" alt="" style="width:418.85pt;height:.05pt;mso-width-percent:0;mso-height-percent:0;mso-width-percent:0;mso-height-percent:0" o:hrpct="895" o:hralign="center" o:hrstd="t" o:hr="t" fillcolor="#a0a0a0" stroked="f"/>
        </w:pict>
      </w:r>
    </w:p>
    <w:p w14:paraId="78836657" w14:textId="77777777" w:rsidR="00FE3DCA" w:rsidRPr="00FE3DCA" w:rsidRDefault="00FE3DCA" w:rsidP="00FE3DC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Signatures:</w:t>
      </w:r>
    </w:p>
    <w:p w14:paraId="63FA0A05" w14:textId="71CBBAAB" w:rsidR="00FE3DCA" w:rsidRPr="00FE3DCA" w:rsidRDefault="00FE3DCA" w:rsidP="00FE3DCA">
      <w:pPr>
        <w:numPr>
          <w:ilvl w:val="0"/>
          <w:numId w:val="17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Clerk</w:t>
      </w: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: ___________________</w:t>
      </w:r>
    </w:p>
    <w:p w14:paraId="0A5F49BF" w14:textId="77777777" w:rsidR="00FE3DCA" w:rsidRPr="00FE3DCA" w:rsidRDefault="00FE3DCA" w:rsidP="00FE3DCA">
      <w:pPr>
        <w:numPr>
          <w:ilvl w:val="0"/>
          <w:numId w:val="17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FE3DC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Parish Council Chair: ___________________</w:t>
      </w:r>
    </w:p>
    <w:p w14:paraId="2E5E72D7" w14:textId="77777777" w:rsidR="00C5131E" w:rsidRDefault="00C5131E"/>
    <w:sectPr w:rsidR="00C5131E" w:rsidSect="00E143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177"/>
    <w:multiLevelType w:val="multilevel"/>
    <w:tmpl w:val="07F8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144AB"/>
    <w:multiLevelType w:val="multilevel"/>
    <w:tmpl w:val="3052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D534F"/>
    <w:multiLevelType w:val="hybridMultilevel"/>
    <w:tmpl w:val="C6D6912A"/>
    <w:lvl w:ilvl="0" w:tplc="6BA03A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34B0F"/>
    <w:multiLevelType w:val="multilevel"/>
    <w:tmpl w:val="6726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D55A4"/>
    <w:multiLevelType w:val="multilevel"/>
    <w:tmpl w:val="5B86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806CD"/>
    <w:multiLevelType w:val="multilevel"/>
    <w:tmpl w:val="23F8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001DE"/>
    <w:multiLevelType w:val="multilevel"/>
    <w:tmpl w:val="8EC4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34C1C"/>
    <w:multiLevelType w:val="multilevel"/>
    <w:tmpl w:val="3CF6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E1DA1"/>
    <w:multiLevelType w:val="multilevel"/>
    <w:tmpl w:val="DDF4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95324"/>
    <w:multiLevelType w:val="multilevel"/>
    <w:tmpl w:val="A796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E3759"/>
    <w:multiLevelType w:val="multilevel"/>
    <w:tmpl w:val="2E92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86A78"/>
    <w:multiLevelType w:val="multilevel"/>
    <w:tmpl w:val="A1BA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816B9"/>
    <w:multiLevelType w:val="multilevel"/>
    <w:tmpl w:val="F6B0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3962AC"/>
    <w:multiLevelType w:val="multilevel"/>
    <w:tmpl w:val="4E9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43C5A"/>
    <w:multiLevelType w:val="hybridMultilevel"/>
    <w:tmpl w:val="0A12A22C"/>
    <w:lvl w:ilvl="0" w:tplc="7FCEA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7D041B"/>
    <w:multiLevelType w:val="multilevel"/>
    <w:tmpl w:val="52AE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1E11B8"/>
    <w:multiLevelType w:val="multilevel"/>
    <w:tmpl w:val="CF2E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8C7B28"/>
    <w:multiLevelType w:val="multilevel"/>
    <w:tmpl w:val="F6DC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6F100F"/>
    <w:multiLevelType w:val="multilevel"/>
    <w:tmpl w:val="97FE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182772">
    <w:abstractNumId w:val="6"/>
  </w:num>
  <w:num w:numId="2" w16cid:durableId="518348799">
    <w:abstractNumId w:val="7"/>
  </w:num>
  <w:num w:numId="3" w16cid:durableId="1463501004">
    <w:abstractNumId w:val="16"/>
  </w:num>
  <w:num w:numId="4" w16cid:durableId="257835781">
    <w:abstractNumId w:val="5"/>
  </w:num>
  <w:num w:numId="5" w16cid:durableId="428543983">
    <w:abstractNumId w:val="8"/>
  </w:num>
  <w:num w:numId="6" w16cid:durableId="1768112793">
    <w:abstractNumId w:val="17"/>
  </w:num>
  <w:num w:numId="7" w16cid:durableId="521405238">
    <w:abstractNumId w:val="18"/>
  </w:num>
  <w:num w:numId="8" w16cid:durableId="2069840920">
    <w:abstractNumId w:val="15"/>
  </w:num>
  <w:num w:numId="9" w16cid:durableId="99225219">
    <w:abstractNumId w:val="1"/>
  </w:num>
  <w:num w:numId="10" w16cid:durableId="502429847">
    <w:abstractNumId w:val="9"/>
  </w:num>
  <w:num w:numId="11" w16cid:durableId="1930042544">
    <w:abstractNumId w:val="3"/>
  </w:num>
  <w:num w:numId="12" w16cid:durableId="1440376250">
    <w:abstractNumId w:val="11"/>
  </w:num>
  <w:num w:numId="13" w16cid:durableId="929267688">
    <w:abstractNumId w:val="13"/>
  </w:num>
  <w:num w:numId="14" w16cid:durableId="1688939969">
    <w:abstractNumId w:val="10"/>
  </w:num>
  <w:num w:numId="15" w16cid:durableId="1201821022">
    <w:abstractNumId w:val="4"/>
  </w:num>
  <w:num w:numId="16" w16cid:durableId="910820548">
    <w:abstractNumId w:val="12"/>
  </w:num>
  <w:num w:numId="17" w16cid:durableId="400370353">
    <w:abstractNumId w:val="0"/>
  </w:num>
  <w:num w:numId="18" w16cid:durableId="929773332">
    <w:abstractNumId w:val="14"/>
  </w:num>
  <w:num w:numId="19" w16cid:durableId="231736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CA"/>
    <w:rsid w:val="000E35E2"/>
    <w:rsid w:val="002650D0"/>
    <w:rsid w:val="0047128D"/>
    <w:rsid w:val="00587990"/>
    <w:rsid w:val="00681568"/>
    <w:rsid w:val="008D4E16"/>
    <w:rsid w:val="00953AAC"/>
    <w:rsid w:val="00AC043F"/>
    <w:rsid w:val="00AC6CBC"/>
    <w:rsid w:val="00B31402"/>
    <w:rsid w:val="00B64951"/>
    <w:rsid w:val="00C5131E"/>
    <w:rsid w:val="00C9602C"/>
    <w:rsid w:val="00CB3026"/>
    <w:rsid w:val="00D36F83"/>
    <w:rsid w:val="00E1439D"/>
    <w:rsid w:val="00E85632"/>
    <w:rsid w:val="00F05C7A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540F3"/>
  <w15:chartTrackingRefBased/>
  <w15:docId w15:val="{B5EE111A-DE09-6B43-BB6A-7AEA6033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D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D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D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D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3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D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D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D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D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3D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E3DCA"/>
    <w:rPr>
      <w:b/>
      <w:bCs/>
    </w:rPr>
  </w:style>
  <w:style w:type="table" w:styleId="TableGrid">
    <w:name w:val="Table Grid"/>
    <w:basedOn w:val="TableNormal"/>
    <w:uiPriority w:val="39"/>
    <w:rsid w:val="00FE3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Bowles</dc:creator>
  <cp:keywords/>
  <dc:description/>
  <cp:lastModifiedBy>Donna Bowles</cp:lastModifiedBy>
  <cp:revision>2</cp:revision>
  <dcterms:created xsi:type="dcterms:W3CDTF">2026-02-17T11:36:00Z</dcterms:created>
  <dcterms:modified xsi:type="dcterms:W3CDTF">2026-02-17T11:36:00Z</dcterms:modified>
</cp:coreProperties>
</file>